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21F8F0">
      <w:pPr>
        <w:rPr>
          <w:b/>
          <w:bCs/>
        </w:rPr>
      </w:pPr>
      <w:bookmarkStart w:id="0" w:name="OLE_LINK2"/>
      <w:r>
        <w:rPr>
          <w:b/>
          <w:bCs/>
          <w:lang w:bidi="ar"/>
        </w:rPr>
        <w:t>Sentiment and topic change during the period of pandemic</w:t>
      </w:r>
      <w:bookmarkEnd w:id="0"/>
    </w:p>
    <w:p w14:paraId="5357DB77">
      <w:pPr>
        <w:spacing w:before="0" w:beforeAutospacing="0"/>
        <w:ind w:firstLine="440" w:firstLineChars="200"/>
      </w:pPr>
      <w:r>
        <w:rPr>
          <w:lang w:bidi="ar"/>
        </w:rPr>
        <w:t xml:space="preserve">It is noteworthy to examine the reactions of reviews during the pandemic period. The number of reviews experienced a significant and dramatic decline starting from the end of 2019. In the second quarter of 2020, the total number of reviews across all project categories reached its nadir, plummeting from 4,367 in the third quarter of 2019 to 738. Concurrently, the sentiment of reviews slightly decreased to 0.31 by the third quarter of 2020. This aligns with findings from </w:t>
      </w:r>
      <w:bookmarkStart w:id="1" w:name="OLE_LINK1"/>
      <w:r>
        <w:rPr>
          <w:lang w:bidi="ar"/>
        </w:rPr>
        <w:t>Wang</w:t>
      </w:r>
      <w:bookmarkEnd w:id="1"/>
      <w:r>
        <w:rPr>
          <w:lang w:bidi="ar"/>
        </w:rPr>
        <w:t xml:space="preserve"> et al. (2022), which observed a global decrease in sentiment following the World Health Organization's declaration of COVID-19 as a pandemic on March 11, 2020.</w:t>
      </w:r>
    </w:p>
    <w:p w14:paraId="6C8B3A9F">
      <w:pPr>
        <w:spacing w:before="0" w:beforeAutospacing="0"/>
        <w:ind w:firstLine="440" w:firstLineChars="200"/>
      </w:pPr>
      <w:r>
        <w:rPr>
          <w:lang w:bidi="ar"/>
        </w:rPr>
        <w:t xml:space="preserve">Compared to the average levels, the sentiment of reviews from high-income countries and upper-middle-income countries plummeted dramatically during the pandemic period—by 21% and 34% respectively in the third quarter of 2020—while the sentiment from low-income countries remained relatively stable (Figure </w:t>
      </w:r>
      <w:r>
        <w:rPr>
          <w:rFonts w:hint="eastAsia"/>
          <w:lang w:val="en-US" w:eastAsia="zh-CN" w:bidi="ar"/>
        </w:rPr>
        <w:t>S9</w:t>
      </w:r>
      <w:r>
        <w:rPr>
          <w:rFonts w:hint="eastAsia"/>
          <w:lang w:bidi="ar"/>
        </w:rPr>
        <w:t>, a</w:t>
      </w:r>
      <w:r>
        <w:rPr>
          <w:lang w:bidi="ar"/>
        </w:rPr>
        <w:t xml:space="preserve">). The pandemic notably impacted the sentiment regarding professional function and service industry topics in </w:t>
      </w:r>
      <w:bookmarkStart w:id="3" w:name="_GoBack"/>
      <w:bookmarkEnd w:id="3"/>
      <w:r>
        <w:rPr>
          <w:lang w:bidi="ar"/>
        </w:rPr>
        <w:t>high-income and upper-middle-income countries. For instance, reviews such as "... YOUR DELIVERY SERVICE IS SHIT! I spent the whole day in an empty cold flat (mid COVID) waiting for a delivery…" (from Hisense Cape Town factory in South Africa) and “Unbelievably unsafe during COVID - Seajets (a ferry company) should NOT be allowed to currently operate as they are putting thousands at risk. On our ferry... not abiding by the 85% capacity rule.” (from Piraeus harbor in Greece) highlight increased difficulties in service provision and heightened user anxiety, particularly noticeable in higher-income countries.</w:t>
      </w:r>
    </w:p>
    <w:p w14:paraId="3454D029">
      <w:pPr>
        <w:spacing w:before="0" w:beforeAutospacing="0"/>
        <w:ind w:firstLine="440" w:firstLineChars="200"/>
      </w:pPr>
      <w:r>
        <w:rPr>
          <w:lang w:bidi="ar"/>
        </w:rPr>
        <w:t xml:space="preserve">During the pandemic period, there was a shift in the topics that users focused on. Discussions increasingly centered around project-related topics, while the proportion discussing development topics decreased significantly by 31.5%. The sentiment regarding development topics also declined by 8.3%, with the proportion of negative reviews on development topics increasing by 1.5% (Figure </w:t>
      </w:r>
      <w:r>
        <w:rPr>
          <w:rFonts w:hint="eastAsia"/>
          <w:lang w:bidi="ar"/>
        </w:rPr>
        <w:t>S8, b</w:t>
      </w:r>
      <w:r>
        <w:rPr>
          <w:lang w:bidi="ar"/>
        </w:rPr>
        <w:t>). This downturn can be attributed to pandemic-induced delays in project timelines, leading to a more pessimistic sentiment among reviewers. For example, a review from the third quarter of 2020 regarding the Lahore underground project stated: “It's been more than 2 years I guess and the residents of this mega city Lahore are still waiting for the metro train to start its operations. All the work is complete but petty politics is a big hurdle. Such a sorry state of affairs.”</w:t>
      </w:r>
    </w:p>
    <w:p w14:paraId="34C28C0A">
      <w:pPr>
        <w:jc w:val="center"/>
        <w:rPr>
          <w:rFonts w:hint="eastAsia" w:eastAsia="等线"/>
          <w:lang w:eastAsia="zh-CN"/>
        </w:rPr>
      </w:pPr>
      <w:r>
        <w:rPr>
          <w:rFonts w:hint="eastAsia"/>
          <w:lang w:eastAsia="zh-CN" w:bidi="ar"/>
        </w:rPr>
        <w:drawing>
          <wp:inline distT="0" distB="0" distL="114300" distR="114300">
            <wp:extent cx="5467985" cy="3892550"/>
            <wp:effectExtent l="0" t="0" r="3175" b="8890"/>
            <wp:docPr id="8" name="图片 8" descr="KED income pandemic资源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KED income pandemic资源 1"/>
                    <pic:cNvPicPr>
                      <a:picLocks noChangeAspect="1"/>
                    </pic:cNvPicPr>
                  </pic:nvPicPr>
                  <pic:blipFill>
                    <a:blip r:embed="rId6"/>
                    <a:stretch>
                      <a:fillRect/>
                    </a:stretch>
                  </pic:blipFill>
                  <pic:spPr>
                    <a:xfrm>
                      <a:off x="0" y="0"/>
                      <a:ext cx="5467985" cy="3892550"/>
                    </a:xfrm>
                    <a:prstGeom prst="rect">
                      <a:avLst/>
                    </a:prstGeom>
                  </pic:spPr>
                </pic:pic>
              </a:graphicData>
            </a:graphic>
          </wp:inline>
        </w:drawing>
      </w:r>
    </w:p>
    <w:p w14:paraId="268318A0">
      <w:pPr>
        <w:autoSpaceDE/>
        <w:autoSpaceDN/>
        <w:spacing w:before="0" w:beforeAutospacing="0" w:line="240" w:lineRule="auto"/>
        <w:jc w:val="center"/>
      </w:pPr>
      <w:r>
        <w:rPr>
          <w:lang w:bidi="ar"/>
        </w:rPr>
        <w:t>(a)  The sentiment changes in the pandemic by income level</w:t>
      </w:r>
    </w:p>
    <w:p w14:paraId="0E54866C">
      <w:pPr>
        <w:jc w:val="center"/>
      </w:pPr>
      <w:r>
        <w:rPr>
          <w:rFonts w:hint="eastAsia" w:ascii="等线" w:hAnsi="等线" w:cs="宋体"/>
          <w:snapToGrid w:val="0"/>
          <w:sz w:val="21"/>
          <w:szCs w:val="21"/>
          <w:lang w:bidi="ar"/>
        </w:rPr>
        <w:drawing>
          <wp:inline distT="0" distB="0" distL="114300" distR="114300">
            <wp:extent cx="5335270" cy="3771900"/>
            <wp:effectExtent l="0" t="0" r="13970" b="7620"/>
            <wp:docPr id="4" name="图片 4" descr="KED topic pandemic资源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KED topic pandemic资源 1"/>
                    <pic:cNvPicPr>
                      <a:picLocks noChangeAspect="1"/>
                    </pic:cNvPicPr>
                  </pic:nvPicPr>
                  <pic:blipFill>
                    <a:blip r:embed="rId7"/>
                    <a:stretch>
                      <a:fillRect/>
                    </a:stretch>
                  </pic:blipFill>
                  <pic:spPr>
                    <a:xfrm>
                      <a:off x="0" y="0"/>
                      <a:ext cx="5335270" cy="3771900"/>
                    </a:xfrm>
                    <a:prstGeom prst="rect">
                      <a:avLst/>
                    </a:prstGeom>
                  </pic:spPr>
                </pic:pic>
              </a:graphicData>
            </a:graphic>
          </wp:inline>
        </w:drawing>
      </w:r>
    </w:p>
    <w:p w14:paraId="5BB59DF9">
      <w:pPr>
        <w:spacing w:before="0" w:beforeAutospacing="0" w:line="240" w:lineRule="auto"/>
        <w:jc w:val="center"/>
      </w:pPr>
      <w:bookmarkStart w:id="2" w:name="OLE_LINK3"/>
      <w:r>
        <w:rPr>
          <w:lang w:bidi="ar"/>
        </w:rPr>
        <w:t>(b) Sentiment change in the pandemic by topics</w:t>
      </w:r>
      <w:bookmarkEnd w:id="2"/>
    </w:p>
    <w:p w14:paraId="617A30E6">
      <w:pPr>
        <w:jc w:val="center"/>
        <w:rPr>
          <w:lang w:bidi="ar"/>
        </w:rPr>
      </w:pPr>
      <w:r>
        <w:rPr>
          <w:b/>
          <w:lang w:bidi="ar"/>
        </w:rPr>
        <w:t xml:space="preserve">Figure </w:t>
      </w:r>
      <w:r>
        <w:rPr>
          <w:rFonts w:hint="eastAsia"/>
          <w:b/>
          <w:lang w:bidi="ar"/>
        </w:rPr>
        <w:t>S</w:t>
      </w:r>
      <w:r>
        <w:rPr>
          <w:rFonts w:hint="eastAsia"/>
          <w:b/>
          <w:lang w:val="en-US" w:eastAsia="zh-CN" w:bidi="ar"/>
        </w:rPr>
        <w:t>9</w:t>
      </w:r>
      <w:r>
        <w:rPr>
          <w:lang w:bidi="ar"/>
        </w:rPr>
        <w:t>. Sentiment distribution average level in the pandemic</w:t>
      </w:r>
    </w:p>
    <w:p w14:paraId="57479271">
      <w:pPr>
        <w:rPr>
          <w:lang w:bidi="ar"/>
        </w:rPr>
      </w:pPr>
      <w:r>
        <w:rPr>
          <w:rFonts w:hint="eastAsia"/>
          <w:lang w:bidi="ar"/>
        </w:rPr>
        <w:t>Reference:</w:t>
      </w:r>
    </w:p>
    <w:p w14:paraId="27B2C06C">
      <w:r>
        <w:t>Wang J, Fan Y, Palacios J, et al. (2022) Global evidence of expressed sentiment alterations during the COVID-19 pandemic. Nature Human Behaviour 6(3): 349–358.</w:t>
      </w:r>
    </w:p>
    <w:p w14:paraId="044C157C"/>
    <w:sectPr>
      <w:pgSz w:w="11906" w:h="16838"/>
      <w:pgMar w:top="1440" w:right="1440" w:bottom="1440" w:left="144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480" w:lineRule="auto"/>
      </w:pPr>
      <w:r>
        <w:separator/>
      </w:r>
    </w:p>
  </w:footnote>
  <w:footnote w:type="continuationSeparator" w:id="1">
    <w:p>
      <w:pPr>
        <w:spacing w:before="0" w:after="0" w:line="48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4DA4021"/>
    <w:multiLevelType w:val="multilevel"/>
    <w:tmpl w:val="24DA4021"/>
    <w:lvl w:ilvl="0" w:tentative="0">
      <w:start w:val="1"/>
      <w:numFmt w:val="decimal"/>
      <w:pStyle w:val="8"/>
      <w:lvlText w:val="%1"/>
      <w:lvlJc w:val="left"/>
      <w:pPr>
        <w:ind w:left="0" w:firstLine="0"/>
      </w:pPr>
      <w:rPr>
        <w:rFonts w:hint="default" w:ascii="Times New Roman" w:hAnsi="Times New Roman"/>
      </w:rPr>
    </w:lvl>
    <w:lvl w:ilvl="1" w:tentative="0">
      <w:start w:val="1"/>
      <w:numFmt w:val="decimal"/>
      <w:pStyle w:val="12"/>
      <w:lvlText w:val="%1.%2"/>
      <w:lvlJc w:val="left"/>
      <w:pPr>
        <w:ind w:left="0" w:firstLine="0"/>
      </w:pPr>
      <w:rPr>
        <w:rFonts w:hint="eastAsia"/>
      </w:rPr>
    </w:lvl>
    <w:lvl w:ilvl="2" w:tentative="0">
      <w:start w:val="1"/>
      <w:numFmt w:val="decimal"/>
      <w:pStyle w:val="13"/>
      <w:lvlText w:val="%1.%2.%3"/>
      <w:lvlJc w:val="left"/>
      <w:pPr>
        <w:ind w:left="0" w:firstLine="0"/>
      </w:pPr>
      <w:rPr>
        <w:rFonts w:hint="eastAsia"/>
      </w:rPr>
    </w:lvl>
    <w:lvl w:ilvl="3" w:tentative="0">
      <w:start w:val="1"/>
      <w:numFmt w:val="decimal"/>
      <w:lvlText w:val="%1.%2.%3.%4"/>
      <w:lvlJc w:val="left"/>
      <w:pPr>
        <w:ind w:left="0" w:firstLine="0"/>
      </w:pPr>
      <w:rPr>
        <w:rFonts w:hint="eastAsia"/>
      </w:rPr>
    </w:lvl>
    <w:lvl w:ilvl="4" w:tentative="0">
      <w:start w:val="1"/>
      <w:numFmt w:val="decimal"/>
      <w:lvlText w:val="%1.%2.%3.%4.%5"/>
      <w:lvlJc w:val="left"/>
      <w:pPr>
        <w:ind w:left="0" w:firstLine="0"/>
      </w:pPr>
      <w:rPr>
        <w:rFonts w:hint="eastAsia"/>
      </w:rPr>
    </w:lvl>
    <w:lvl w:ilvl="5" w:tentative="0">
      <w:start w:val="1"/>
      <w:numFmt w:val="decimal"/>
      <w:lvlText w:val="%1.%2.%3.%4.%5.%6"/>
      <w:lvlJc w:val="left"/>
      <w:pPr>
        <w:ind w:left="0" w:firstLine="0"/>
      </w:pPr>
      <w:rPr>
        <w:rFonts w:hint="eastAsia"/>
      </w:rPr>
    </w:lvl>
    <w:lvl w:ilvl="6" w:tentative="0">
      <w:start w:val="1"/>
      <w:numFmt w:val="decimal"/>
      <w:lvlText w:val="%1.%2.%3.%4.%5.%6.%7"/>
      <w:lvlJc w:val="left"/>
      <w:pPr>
        <w:ind w:left="0" w:firstLine="0"/>
      </w:pPr>
      <w:rPr>
        <w:rFonts w:hint="eastAsia"/>
      </w:rPr>
    </w:lvl>
    <w:lvl w:ilvl="7" w:tentative="0">
      <w:start w:val="1"/>
      <w:numFmt w:val="decimal"/>
      <w:lvlText w:val="%1.%2.%3.%4.%5.%6.%7.%8"/>
      <w:lvlJc w:val="left"/>
      <w:pPr>
        <w:ind w:left="0" w:firstLine="0"/>
      </w:pPr>
      <w:rPr>
        <w:rFonts w:hint="eastAsia"/>
      </w:rPr>
    </w:lvl>
    <w:lvl w:ilvl="8" w:tentative="0">
      <w:start w:val="1"/>
      <w:numFmt w:val="decimal"/>
      <w:lvlText w:val="%1.%2.%3.%4.%5.%6.%7.%8.%9"/>
      <w:lvlJc w:val="left"/>
      <w:pPr>
        <w:ind w:left="0" w:firstLine="0"/>
      </w:pPr>
      <w:rPr>
        <w:rFonts w:hint="eastAsia"/>
      </w:rPr>
    </w:lvl>
  </w:abstractNum>
  <w:abstractNum w:abstractNumId="1">
    <w:nsid w:val="70BC2924"/>
    <w:multiLevelType w:val="multilevel"/>
    <w:tmpl w:val="70BC2924"/>
    <w:lvl w:ilvl="0" w:tentative="0">
      <w:start w:val="1"/>
      <w:numFmt w:val="decimal"/>
      <w:pStyle w:val="11"/>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2">
    <w:nsid w:val="766F60C7"/>
    <w:multiLevelType w:val="multilevel"/>
    <w:tmpl w:val="766F60C7"/>
    <w:lvl w:ilvl="0" w:tentative="0">
      <w:start w:val="1"/>
      <w:numFmt w:val="decimal"/>
      <w:lvlText w:val="%1"/>
      <w:lvlJc w:val="left"/>
      <w:pPr>
        <w:ind w:left="0" w:firstLine="0"/>
      </w:pPr>
      <w:rPr>
        <w:rFonts w:hint="default" w:ascii="Times New Roman" w:hAnsi="Times New Roman"/>
      </w:rPr>
    </w:lvl>
    <w:lvl w:ilvl="1" w:tentative="0">
      <w:start w:val="1"/>
      <w:numFmt w:val="decimal"/>
      <w:pStyle w:val="15"/>
      <w:lvlText w:val="%1.%2"/>
      <w:lvlJc w:val="left"/>
      <w:pPr>
        <w:ind w:left="0" w:firstLine="0"/>
      </w:pPr>
      <w:rPr>
        <w:rFonts w:hint="eastAsia"/>
      </w:rPr>
    </w:lvl>
    <w:lvl w:ilvl="2" w:tentative="0">
      <w:start w:val="1"/>
      <w:numFmt w:val="decimal"/>
      <w:lvlText w:val="%1.%2.%3"/>
      <w:lvlJc w:val="left"/>
      <w:pPr>
        <w:ind w:left="0" w:firstLine="0"/>
      </w:pPr>
      <w:rPr>
        <w:rFonts w:hint="eastAsia"/>
      </w:rPr>
    </w:lvl>
    <w:lvl w:ilvl="3" w:tentative="0">
      <w:start w:val="1"/>
      <w:numFmt w:val="decimal"/>
      <w:lvlText w:val="%1.%2.%3.%4"/>
      <w:lvlJc w:val="left"/>
      <w:pPr>
        <w:ind w:left="0" w:firstLine="0"/>
      </w:pPr>
      <w:rPr>
        <w:rFonts w:hint="eastAsia"/>
      </w:rPr>
    </w:lvl>
    <w:lvl w:ilvl="4" w:tentative="0">
      <w:start w:val="1"/>
      <w:numFmt w:val="decimal"/>
      <w:lvlText w:val="%1.%2.%3.%4.%5"/>
      <w:lvlJc w:val="left"/>
      <w:pPr>
        <w:ind w:left="0" w:firstLine="0"/>
      </w:pPr>
      <w:rPr>
        <w:rFonts w:hint="eastAsia"/>
      </w:rPr>
    </w:lvl>
    <w:lvl w:ilvl="5" w:tentative="0">
      <w:start w:val="1"/>
      <w:numFmt w:val="decimal"/>
      <w:lvlText w:val="%1.%2.%3.%4.%5.%6"/>
      <w:lvlJc w:val="left"/>
      <w:pPr>
        <w:ind w:left="0" w:firstLine="0"/>
      </w:pPr>
      <w:rPr>
        <w:rFonts w:hint="eastAsia"/>
      </w:rPr>
    </w:lvl>
    <w:lvl w:ilvl="6" w:tentative="0">
      <w:start w:val="1"/>
      <w:numFmt w:val="decimal"/>
      <w:lvlText w:val="%1.%2.%3.%4.%5.%6.%7"/>
      <w:lvlJc w:val="left"/>
      <w:pPr>
        <w:ind w:left="0" w:firstLine="0"/>
      </w:pPr>
      <w:rPr>
        <w:rFonts w:hint="eastAsia"/>
      </w:rPr>
    </w:lvl>
    <w:lvl w:ilvl="7" w:tentative="0">
      <w:start w:val="1"/>
      <w:numFmt w:val="decimal"/>
      <w:lvlText w:val="%1.%2.%3.%4.%5.%6.%7.%8"/>
      <w:lvlJc w:val="left"/>
      <w:pPr>
        <w:ind w:left="0" w:firstLine="0"/>
      </w:pPr>
      <w:rPr>
        <w:rFonts w:hint="eastAsia"/>
      </w:rPr>
    </w:lvl>
    <w:lvl w:ilvl="8" w:tentative="0">
      <w:start w:val="1"/>
      <w:numFmt w:val="decimal"/>
      <w:lvlText w:val="%1.%2.%3.%4.%5.%6.%7.%8.%9"/>
      <w:lvlJc w:val="left"/>
      <w:pPr>
        <w:ind w:left="0" w:firstLine="0"/>
      </w:pPr>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documentProtection w:enforcement="0"/>
  <w:defaultTabStop w:val="420"/>
  <w:drawingGridHorizontalSpacing w:val="11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c3YjMyMzhhZmE0NGE0NjAyYzM1ZDllMWIwYjM3YjkifQ=="/>
  </w:docVars>
  <w:rsids>
    <w:rsidRoot w:val="00806A1F"/>
    <w:rsid w:val="00683CB2"/>
    <w:rsid w:val="00806A1F"/>
    <w:rsid w:val="00AC5330"/>
    <w:rsid w:val="00CB5B48"/>
    <w:rsid w:val="00EA6C19"/>
    <w:rsid w:val="0AEB1631"/>
    <w:rsid w:val="1AF6410A"/>
    <w:rsid w:val="26747E2C"/>
    <w:rsid w:val="27016CF5"/>
    <w:rsid w:val="2CE73413"/>
    <w:rsid w:val="2DBC4BAF"/>
    <w:rsid w:val="3291038E"/>
    <w:rsid w:val="363B5C47"/>
    <w:rsid w:val="38985A87"/>
    <w:rsid w:val="38BD3831"/>
    <w:rsid w:val="3DA301B3"/>
    <w:rsid w:val="3DD71817"/>
    <w:rsid w:val="4038111F"/>
    <w:rsid w:val="41097C06"/>
    <w:rsid w:val="53210039"/>
    <w:rsid w:val="583C1DE9"/>
    <w:rsid w:val="5B40156D"/>
    <w:rsid w:val="7A9D6AC7"/>
    <w:rsid w:val="7B6A670A"/>
    <w:rsid w:val="7E4D27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autoSpaceDE w:val="0"/>
      <w:autoSpaceDN w:val="0"/>
      <w:adjustRightInd w:val="0"/>
      <w:snapToGrid w:val="0"/>
      <w:spacing w:before="100" w:beforeAutospacing="1" w:line="480" w:lineRule="auto"/>
      <w:outlineLvl w:val="2"/>
    </w:pPr>
    <w:rPr>
      <w:rFonts w:ascii="Times New Roman" w:hAnsi="Times New Roman" w:eastAsia="等线" w:cs="等线"/>
      <w:color w:val="000000"/>
      <w:sz w:val="22"/>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20"/>
    <w:qFormat/>
    <w:uiPriority w:val="0"/>
    <w:pPr>
      <w:spacing w:line="240" w:lineRule="auto"/>
    </w:pPr>
    <w:rPr>
      <w:sz w:val="20"/>
      <w:szCs w:val="20"/>
    </w:rPr>
  </w:style>
  <w:style w:type="paragraph" w:styleId="3">
    <w:name w:val="Balloon Text"/>
    <w:basedOn w:val="1"/>
    <w:link w:val="19"/>
    <w:qFormat/>
    <w:uiPriority w:val="0"/>
    <w:rPr>
      <w:rFonts w:ascii="Segoe UI" w:hAnsi="Segoe UI" w:cs="Segoe UI"/>
      <w:sz w:val="18"/>
      <w:szCs w:val="18"/>
    </w:rPr>
  </w:style>
  <w:style w:type="paragraph" w:styleId="4">
    <w:name w:val="annotation subject"/>
    <w:basedOn w:val="2"/>
    <w:next w:val="2"/>
    <w:link w:val="21"/>
    <w:uiPriority w:val="0"/>
    <w:rPr>
      <w:b/>
      <w:bCs/>
    </w:rPr>
  </w:style>
  <w:style w:type="character" w:styleId="7">
    <w:name w:val="annotation reference"/>
    <w:basedOn w:val="6"/>
    <w:qFormat/>
    <w:uiPriority w:val="0"/>
    <w:rPr>
      <w:sz w:val="16"/>
      <w:szCs w:val="16"/>
    </w:rPr>
  </w:style>
  <w:style w:type="paragraph" w:customStyle="1" w:styleId="8">
    <w:name w:val="论文标题1"/>
    <w:basedOn w:val="1"/>
    <w:next w:val="1"/>
    <w:link w:val="9"/>
    <w:autoRedefine/>
    <w:qFormat/>
    <w:uiPriority w:val="0"/>
    <w:pPr>
      <w:numPr>
        <w:ilvl w:val="0"/>
        <w:numId w:val="1"/>
      </w:numPr>
      <w:outlineLvl w:val="0"/>
    </w:pPr>
    <w:rPr>
      <w:rFonts w:eastAsia="Times New Roman"/>
    </w:rPr>
  </w:style>
  <w:style w:type="character" w:customStyle="1" w:styleId="9">
    <w:name w:val="论文标题1 字符"/>
    <w:basedOn w:val="10"/>
    <w:link w:val="8"/>
    <w:autoRedefine/>
    <w:qFormat/>
    <w:uiPriority w:val="0"/>
    <w:rPr>
      <w:rFonts w:eastAsia="Times New Roman" w:cs="等线"/>
      <w:color w:val="000000"/>
      <w:sz w:val="22"/>
      <w:szCs w:val="22"/>
    </w:rPr>
  </w:style>
  <w:style w:type="character" w:customStyle="1" w:styleId="10">
    <w:name w:val="List Paragraph Char"/>
    <w:basedOn w:val="6"/>
    <w:link w:val="11"/>
    <w:autoRedefine/>
    <w:qFormat/>
    <w:uiPriority w:val="99"/>
    <w:rPr>
      <w:rFonts w:eastAsia="等线" w:cs="等线"/>
      <w:color w:val="000000"/>
      <w:sz w:val="22"/>
      <w:szCs w:val="22"/>
    </w:rPr>
  </w:style>
  <w:style w:type="paragraph" w:styleId="11">
    <w:name w:val="List Paragraph"/>
    <w:basedOn w:val="1"/>
    <w:link w:val="10"/>
    <w:autoRedefine/>
    <w:unhideWhenUsed/>
    <w:qFormat/>
    <w:uiPriority w:val="99"/>
    <w:pPr>
      <w:numPr>
        <w:ilvl w:val="0"/>
        <w:numId w:val="2"/>
      </w:numPr>
      <w:ind w:firstLine="440"/>
    </w:pPr>
  </w:style>
  <w:style w:type="paragraph" w:customStyle="1" w:styleId="12">
    <w:name w:val="论文标题2"/>
    <w:basedOn w:val="1"/>
    <w:qFormat/>
    <w:uiPriority w:val="0"/>
    <w:pPr>
      <w:numPr>
        <w:ilvl w:val="1"/>
        <w:numId w:val="1"/>
      </w:numPr>
      <w:outlineLvl w:val="1"/>
    </w:pPr>
  </w:style>
  <w:style w:type="paragraph" w:customStyle="1" w:styleId="13">
    <w:name w:val="论文标题3"/>
    <w:basedOn w:val="12"/>
    <w:link w:val="18"/>
    <w:qFormat/>
    <w:uiPriority w:val="0"/>
    <w:pPr>
      <w:numPr>
        <w:ilvl w:val="2"/>
      </w:numPr>
    </w:pPr>
  </w:style>
  <w:style w:type="character" w:customStyle="1" w:styleId="14">
    <w:name w:val="论文标题2 字符"/>
    <w:basedOn w:val="6"/>
    <w:link w:val="15"/>
    <w:autoRedefine/>
    <w:qFormat/>
    <w:uiPriority w:val="0"/>
    <w:rPr>
      <w:rFonts w:eastAsia="等线" w:cs="等线"/>
      <w:color w:val="000000"/>
      <w:sz w:val="22"/>
      <w:szCs w:val="22"/>
    </w:rPr>
  </w:style>
  <w:style w:type="paragraph" w:customStyle="1" w:styleId="15">
    <w:name w:val="论文标题22"/>
    <w:basedOn w:val="1"/>
    <w:link w:val="14"/>
    <w:autoRedefine/>
    <w:qFormat/>
    <w:uiPriority w:val="0"/>
    <w:pPr>
      <w:numPr>
        <w:ilvl w:val="1"/>
        <w:numId w:val="3"/>
      </w:numPr>
      <w:outlineLvl w:val="1"/>
    </w:pPr>
  </w:style>
  <w:style w:type="paragraph" w:customStyle="1" w:styleId="16">
    <w:name w:val="论文题注"/>
    <w:basedOn w:val="1"/>
    <w:link w:val="17"/>
    <w:autoRedefine/>
    <w:qFormat/>
    <w:uiPriority w:val="0"/>
  </w:style>
  <w:style w:type="character" w:customStyle="1" w:styleId="17">
    <w:name w:val="论文题注 字符"/>
    <w:basedOn w:val="6"/>
    <w:link w:val="16"/>
    <w:autoRedefine/>
    <w:qFormat/>
    <w:uiPriority w:val="0"/>
    <w:rPr>
      <w:rFonts w:eastAsia="等线" w:cs="等线"/>
      <w:color w:val="000000"/>
      <w:sz w:val="22"/>
      <w:szCs w:val="22"/>
    </w:rPr>
  </w:style>
  <w:style w:type="character" w:customStyle="1" w:styleId="18">
    <w:name w:val="论文标题3 字符"/>
    <w:basedOn w:val="14"/>
    <w:link w:val="13"/>
    <w:autoRedefine/>
    <w:qFormat/>
    <w:uiPriority w:val="0"/>
    <w:rPr>
      <w:rFonts w:eastAsia="等线" w:cs="等线"/>
      <w:color w:val="000000"/>
      <w:sz w:val="22"/>
      <w:szCs w:val="22"/>
    </w:rPr>
  </w:style>
  <w:style w:type="character" w:customStyle="1" w:styleId="19">
    <w:name w:val="Balloon Text Char"/>
    <w:basedOn w:val="6"/>
    <w:link w:val="3"/>
    <w:qFormat/>
    <w:uiPriority w:val="0"/>
    <w:rPr>
      <w:rFonts w:ascii="Segoe UI" w:hAnsi="Segoe UI" w:eastAsia="等线" w:cs="Segoe UI"/>
      <w:color w:val="000000"/>
      <w:sz w:val="18"/>
      <w:szCs w:val="18"/>
    </w:rPr>
  </w:style>
  <w:style w:type="character" w:customStyle="1" w:styleId="20">
    <w:name w:val="Comment Text Char"/>
    <w:basedOn w:val="6"/>
    <w:link w:val="2"/>
    <w:qFormat/>
    <w:uiPriority w:val="0"/>
    <w:rPr>
      <w:rFonts w:eastAsia="等线" w:cs="等线"/>
      <w:color w:val="000000"/>
    </w:rPr>
  </w:style>
  <w:style w:type="character" w:customStyle="1" w:styleId="21">
    <w:name w:val="Comment Subject Char"/>
    <w:basedOn w:val="20"/>
    <w:link w:val="4"/>
    <w:qFormat/>
    <w:uiPriority w:val="0"/>
    <w:rPr>
      <w:rFonts w:eastAsia="等线" w:cs="等线"/>
      <w:b/>
      <w:bCs/>
      <w:color w:val="00000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2.jpe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449</Words>
  <Characters>2494</Characters>
  <Lines>20</Lines>
  <Paragraphs>5</Paragraphs>
  <TotalTime>166</TotalTime>
  <ScaleCrop>false</ScaleCrop>
  <LinksUpToDate>false</LinksUpToDate>
  <CharactersWithSpaces>2935</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2024-06-27T11:15:00Z</dcterms:created>
  <dc:creator>Amber</dc:creator>
  <cp:lastModifiedBy>熊 </cp:lastModifiedBy>
  <dcterms:modified xsi:type="dcterms:W3CDTF">2025-04-03T08:26:32Z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293ACBFF173540C284DBA93892A123F6_13</vt:lpwstr>
  </property>
  <property fmtid="{D5CDD505-2E9C-101B-9397-08002B2CF9AE}" pid="4" name="KSOTemplateDocerSaveRecord">
    <vt:lpwstr>eyJoZGlkIjoiNzMxN2U4OTkxZGVhMzJlZTlhMjRiN2IyNTM5ZTA3MWUiLCJ1c2VySWQiOiI1MjIwMzE4ODcifQ==</vt:lpwstr>
  </property>
</Properties>
</file>